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503B" w14:textId="366FB4EB" w:rsidR="00722FE7" w:rsidRDefault="00722FE7">
      <w:r>
        <w:t xml:space="preserve">Définition du jeu à caractère ludique (5 critères) : </w:t>
      </w:r>
    </w:p>
    <w:p w14:paraId="0A61D0BE" w14:textId="6591AD49" w:rsidR="00722FE7" w:rsidRDefault="00722FE7"/>
    <w:p w14:paraId="20B1C66D" w14:textId="47C89B67" w:rsidR="00722FE7" w:rsidRDefault="00722FE7">
      <w:r>
        <w:t xml:space="preserve">Le second degré : entrer dans l’univers du faire semblant. </w:t>
      </w:r>
    </w:p>
    <w:p w14:paraId="75FEA225" w14:textId="449F5C94" w:rsidR="00104FD4" w:rsidRDefault="00104FD4"/>
    <w:p w14:paraId="30AF6C6A" w14:textId="20B6E95C" w:rsidR="00104FD4" w:rsidRDefault="00104FD4">
      <w:r>
        <w:t>Décision : liberté de choisir quand et à quoi jouer, liberté d’interrompre</w:t>
      </w:r>
    </w:p>
    <w:p w14:paraId="24233F7F" w14:textId="7747B324" w:rsidR="00104FD4" w:rsidRDefault="00104FD4"/>
    <w:p w14:paraId="14B05B46" w14:textId="2B3E46A0" w:rsidR="00104FD4" w:rsidRDefault="00104FD4">
      <w:r>
        <w:t xml:space="preserve">Règle : système de normes préalable au jeu et évolue. </w:t>
      </w:r>
    </w:p>
    <w:p w14:paraId="0F2830BC" w14:textId="13E25026" w:rsidR="00104FD4" w:rsidRDefault="00104FD4"/>
    <w:p w14:paraId="3893C12F" w14:textId="35414E2B" w:rsidR="008B777D" w:rsidRDefault="00104FD4">
      <w:r>
        <w:t xml:space="preserve">Frivolité : </w:t>
      </w:r>
      <w:r w:rsidR="008B777D">
        <w:t xml:space="preserve">les conséquences des actes des enfants sont propres à l’activité et cessent lorsque le jeu se termine (légèreté au jeu, essais et erreurs, aucune obligation de réussite). </w:t>
      </w:r>
    </w:p>
    <w:p w14:paraId="2560A31C" w14:textId="075E3AB3" w:rsidR="008B777D" w:rsidRDefault="008B777D"/>
    <w:p w14:paraId="44FE8A1E" w14:textId="2D6CAF06" w:rsidR="008B777D" w:rsidRDefault="008B777D">
      <w:r>
        <w:t xml:space="preserve">Incertitude : plaisir d’action est le principal objectif visé. Le jeu est imprévisible. </w:t>
      </w:r>
    </w:p>
    <w:p w14:paraId="3D8356C4" w14:textId="72A47205" w:rsidR="008B777D" w:rsidRDefault="008B777D"/>
    <w:p w14:paraId="29B71B56" w14:textId="1D47CED8" w:rsidR="008B777D" w:rsidRDefault="008B777D">
      <w:pPr>
        <w:rPr>
          <w:b/>
          <w:bCs/>
        </w:rPr>
      </w:pPr>
      <w:r w:rsidRPr="008B777D">
        <w:rPr>
          <w:b/>
          <w:bCs/>
          <w:highlight w:val="yellow"/>
        </w:rPr>
        <w:t>Situation d’apprentissage issues du jeu.  SAIJ</w:t>
      </w:r>
    </w:p>
    <w:p w14:paraId="250E4371" w14:textId="2F3E1939" w:rsidR="008B777D" w:rsidRDefault="008B777D" w:rsidP="008B777D">
      <w:pPr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</w:pPr>
      <w:r w:rsidRPr="008B777D"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  <w:t xml:space="preserve"> « </w:t>
      </w:r>
      <w:proofErr w:type="gramStart"/>
      <w:r w:rsidRPr="008B777D"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  <w:t>activités</w:t>
      </w:r>
      <w:proofErr w:type="gramEnd"/>
      <w:r w:rsidRPr="008B777D"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  <w:t xml:space="preserve"> spontanées des enfants ou indirectement initiées par l’enseignante qui, tout en poursuivant un objectif pédagogique, se déroulent dans le jeu et selon sa logique</w:t>
      </w:r>
      <w:r w:rsidRPr="008B777D">
        <w:rPr>
          <w:rFonts w:ascii="Arial" w:eastAsia="Times New Roman" w:hAnsi="Arial" w:cs="Arial"/>
          <w:color w:val="686254"/>
          <w:sz w:val="20"/>
          <w:szCs w:val="20"/>
          <w:shd w:val="clear" w:color="auto" w:fill="FFFFFF"/>
          <w:vertAlign w:val="superscript"/>
          <w:lang w:eastAsia="fr-CA"/>
        </w:rPr>
        <w:t>10</w:t>
      </w:r>
      <w:r w:rsidRPr="008B777D"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  <w:t>.</w:t>
      </w:r>
    </w:p>
    <w:p w14:paraId="7C5A6B02" w14:textId="33C81A9F" w:rsidR="008B777D" w:rsidRDefault="008B777D" w:rsidP="008B777D">
      <w:pPr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</w:pPr>
    </w:p>
    <w:p w14:paraId="38C530B1" w14:textId="77777777" w:rsidR="008B777D" w:rsidRPr="008B777D" w:rsidRDefault="008B777D" w:rsidP="008B777D">
      <w:pPr>
        <w:rPr>
          <w:rFonts w:ascii="Times New Roman" w:eastAsia="Times New Roman" w:hAnsi="Times New Roman" w:cs="Times New Roman"/>
          <w:lang w:eastAsia="fr-CA"/>
        </w:rPr>
      </w:pPr>
      <w:proofErr w:type="gramStart"/>
      <w:r w:rsidRPr="008B777D"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  <w:t>la</w:t>
      </w:r>
      <w:proofErr w:type="gramEnd"/>
      <w:r w:rsidRPr="008B777D">
        <w:rPr>
          <w:rFonts w:ascii="Arial" w:eastAsia="Times New Roman" w:hAnsi="Arial" w:cs="Arial"/>
          <w:color w:val="686254"/>
          <w:sz w:val="19"/>
          <w:szCs w:val="19"/>
          <w:shd w:val="clear" w:color="auto" w:fill="FFFFFF"/>
          <w:lang w:eastAsia="fr-CA"/>
        </w:rPr>
        <w:t xml:space="preserve"> SAIJ apparaît pour répondre à un besoin de nouvelles connaissances exprimé par les élèves. Celles-ci viendront enrichir leur jeu et lui permettront de se poursuivre. La SAIJ se déroule donc intégralement au sein du jeu, sans l’interrompre</w:t>
      </w:r>
      <w:r w:rsidRPr="008B777D">
        <w:rPr>
          <w:rFonts w:ascii="Arial" w:eastAsia="Times New Roman" w:hAnsi="Arial" w:cs="Arial"/>
          <w:color w:val="686254"/>
          <w:sz w:val="20"/>
          <w:szCs w:val="20"/>
          <w:shd w:val="clear" w:color="auto" w:fill="FFFFFF"/>
          <w:vertAlign w:val="superscript"/>
          <w:lang w:eastAsia="fr-CA"/>
        </w:rPr>
        <w:t>12</w:t>
      </w:r>
    </w:p>
    <w:p w14:paraId="1EB21902" w14:textId="7FE9D9CD" w:rsidR="008B777D" w:rsidRDefault="008B777D" w:rsidP="008B777D">
      <w:pPr>
        <w:rPr>
          <w:rFonts w:ascii="Times New Roman" w:eastAsia="Times New Roman" w:hAnsi="Times New Roman" w:cs="Times New Roman"/>
          <w:lang w:eastAsia="fr-CA"/>
        </w:rPr>
      </w:pPr>
    </w:p>
    <w:p w14:paraId="4E299062" w14:textId="6676B5F1" w:rsidR="008B777D" w:rsidRDefault="008B777D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Atteindre pleine maturité du jeu </w:t>
      </w:r>
    </w:p>
    <w:p w14:paraId="732EBFBB" w14:textId="637E5953" w:rsidR="008B777D" w:rsidRDefault="008B777D">
      <w:pPr>
        <w:rPr>
          <w:rFonts w:ascii="Times New Roman" w:eastAsia="Times New Roman" w:hAnsi="Times New Roman" w:cs="Times New Roman"/>
          <w:lang w:eastAsia="fr-CA"/>
        </w:rPr>
      </w:pPr>
    </w:p>
    <w:p w14:paraId="0135B0AE" w14:textId="655FE449" w:rsidR="008B777D" w:rsidRDefault="008B777D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Évaluer niveau de jeu des enfants avec une caméra. </w:t>
      </w:r>
    </w:p>
    <w:p w14:paraId="2AC5B8F6" w14:textId="7E55732E" w:rsidR="008B777D" w:rsidRDefault="008B777D">
      <w:pPr>
        <w:rPr>
          <w:rFonts w:ascii="Times New Roman" w:eastAsia="Times New Roman" w:hAnsi="Times New Roman" w:cs="Times New Roman"/>
          <w:lang w:eastAsia="fr-CA"/>
        </w:rPr>
      </w:pPr>
    </w:p>
    <w:p w14:paraId="2F30A64C" w14:textId="5CBF4C07" w:rsidR="008B777D" w:rsidRDefault="008B777D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5 niveaux de jeu </w:t>
      </w:r>
    </w:p>
    <w:p w14:paraId="31D48A2D" w14:textId="41C5ADD3" w:rsidR="008B777D" w:rsidRDefault="008B777D">
      <w:pPr>
        <w:rPr>
          <w:rFonts w:ascii="Times New Roman" w:eastAsia="Times New Roman" w:hAnsi="Times New Roman" w:cs="Times New Roman"/>
          <w:lang w:eastAsia="fr-CA"/>
        </w:rPr>
      </w:pPr>
    </w:p>
    <w:p w14:paraId="57AA4A72" w14:textId="3AF6EC9A" w:rsidR="008B777D" w:rsidRDefault="008B777D">
      <w:pPr>
        <w:rPr>
          <w:rFonts w:ascii="Times New Roman" w:eastAsia="Times New Roman" w:hAnsi="Times New Roman" w:cs="Times New Roman"/>
          <w:lang w:eastAsia="fr-CA"/>
        </w:rPr>
      </w:pPr>
    </w:p>
    <w:p w14:paraId="2DDFAD15" w14:textId="6D91837E" w:rsidR="008B777D" w:rsidRDefault="008B777D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Valeurs orientées vers le développement de </w:t>
      </w:r>
      <w:r w:rsidR="00512D68">
        <w:rPr>
          <w:rFonts w:ascii="Times New Roman" w:eastAsia="Times New Roman" w:hAnsi="Times New Roman" w:cs="Times New Roman"/>
          <w:lang w:eastAsia="fr-CA"/>
        </w:rPr>
        <w:t xml:space="preserve">l’autorégulation, les fonctions exécutives, habiletés sociales, domaine affectif. L’élève est capable de faire des apprentissages lorsqu’il est disposé de le faire. </w:t>
      </w:r>
    </w:p>
    <w:p w14:paraId="026E65F3" w14:textId="6049C16A" w:rsidR="00512D68" w:rsidRDefault="00512D68">
      <w:pPr>
        <w:rPr>
          <w:rFonts w:ascii="Times New Roman" w:eastAsia="Times New Roman" w:hAnsi="Times New Roman" w:cs="Times New Roman"/>
          <w:lang w:eastAsia="fr-CA"/>
        </w:rPr>
      </w:pPr>
    </w:p>
    <w:p w14:paraId="088DEAD0" w14:textId="4775D5E0" w:rsidR="00512D68" w:rsidRDefault="00512D68">
      <w:pPr>
        <w:rPr>
          <w:rFonts w:ascii="Times New Roman" w:eastAsia="Times New Roman" w:hAnsi="Times New Roman" w:cs="Times New Roman"/>
          <w:lang w:eastAsia="fr-CA"/>
        </w:rPr>
      </w:pPr>
    </w:p>
    <w:p w14:paraId="0E9AC194" w14:textId="2C0A4CB8" w:rsidR="00512D68" w:rsidRDefault="00755E4A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Échéancier : filmer les élèves pendant la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co-prise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en charge afin d’écouter et d’observer à quoi ils jouent afin de choisir les SAIJ. Exemple : ils jouent beaucoup au tigre, je pourrais diffuser le lendemain une petite capsule sur les tigres et sortir des albums de tigres de la bibliothèque. Sortir des fun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facts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>.</w:t>
      </w:r>
    </w:p>
    <w:p w14:paraId="222DEA90" w14:textId="568C673C" w:rsidR="00755E4A" w:rsidRDefault="00755E4A">
      <w:pPr>
        <w:rPr>
          <w:rFonts w:ascii="Times New Roman" w:eastAsia="Times New Roman" w:hAnsi="Times New Roman" w:cs="Times New Roman"/>
          <w:lang w:eastAsia="fr-CA"/>
        </w:rPr>
      </w:pPr>
    </w:p>
    <w:p w14:paraId="6361493A" w14:textId="7FAB2B41" w:rsidR="00755E4A" w:rsidRDefault="00755E4A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S’ils aiment cuisiner, la magie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etc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etc. </w:t>
      </w:r>
    </w:p>
    <w:p w14:paraId="649482E5" w14:textId="77777777" w:rsidR="00755E4A" w:rsidRDefault="00755E4A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</w:p>
    <w:p w14:paraId="46593A7E" w14:textId="085CA0E1" w:rsidR="00512D68" w:rsidRDefault="00512D68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 Description du projet et des observations du contexte  </w:t>
      </w:r>
    </w:p>
    <w:p w14:paraId="6825C811" w14:textId="77777777" w:rsidR="00512D68" w:rsidRDefault="00512D68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·      Intentions d’intervention (besoins des élèves, domaine d’apprentissage, etc.)</w:t>
      </w:r>
    </w:p>
    <w:p w14:paraId="0C791B48" w14:textId="77777777" w:rsidR="00512D68" w:rsidRDefault="00512D68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·      Échéancier : principales étapes et durée du projet</w:t>
      </w:r>
    </w:p>
    <w:p w14:paraId="1D184A3D" w14:textId="77777777" w:rsidR="00512D68" w:rsidRDefault="00512D68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lastRenderedPageBreak/>
        <w:t>·      Obstacles anticipés</w:t>
      </w:r>
    </w:p>
    <w:p w14:paraId="47E4B8A9" w14:textId="77777777" w:rsidR="00512D68" w:rsidRDefault="00512D68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·      Personnes-ressources ou matériel à consulter et/ou à utiliser</w:t>
      </w:r>
    </w:p>
    <w:p w14:paraId="2C8D1592" w14:textId="77777777" w:rsidR="00512D68" w:rsidRDefault="00512D68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·      Concepts venant de la formation mis à contribution (au moins 2 cours)</w:t>
      </w:r>
    </w:p>
    <w:p w14:paraId="3B814447" w14:textId="77777777" w:rsidR="00512D68" w:rsidRDefault="00512D68" w:rsidP="00512D68">
      <w:pPr>
        <w:pStyle w:val="NormalWeb"/>
        <w:shd w:val="clear" w:color="auto" w:fill="FFFFFF"/>
        <w:spacing w:before="180" w:beforeAutospacing="0" w:after="18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·      Moments et modalités d'évaluation : outils d’évaluation</w:t>
      </w:r>
    </w:p>
    <w:p w14:paraId="1719A117" w14:textId="64A7535F" w:rsidR="00512D68" w:rsidRDefault="00512D68">
      <w:pPr>
        <w:rPr>
          <w:b/>
          <w:bCs/>
        </w:rPr>
      </w:pPr>
    </w:p>
    <w:p w14:paraId="02365FF9" w14:textId="7B0C7B9E" w:rsidR="00755E4A" w:rsidRDefault="00755E4A">
      <w:pPr>
        <w:rPr>
          <w:b/>
          <w:bCs/>
        </w:rPr>
      </w:pPr>
    </w:p>
    <w:p w14:paraId="28EF4407" w14:textId="354B7CFF" w:rsidR="00755E4A" w:rsidRPr="008B777D" w:rsidRDefault="00755E4A">
      <w:pPr>
        <w:rPr>
          <w:b/>
          <w:bCs/>
        </w:rPr>
      </w:pPr>
      <w:r>
        <w:rPr>
          <w:b/>
          <w:bCs/>
        </w:rPr>
        <w:t xml:space="preserve">Besoins : </w:t>
      </w:r>
      <w:r w:rsidR="00EF4C6A">
        <w:rPr>
          <w:b/>
          <w:bCs/>
        </w:rPr>
        <w:t xml:space="preserve">être pleinement disposée à </w:t>
      </w:r>
      <w:r w:rsidR="00904C56">
        <w:rPr>
          <w:b/>
          <w:bCs/>
        </w:rPr>
        <w:t>interagir</w:t>
      </w:r>
      <w:r w:rsidR="00EF4C6A">
        <w:rPr>
          <w:b/>
          <w:bCs/>
        </w:rPr>
        <w:t xml:space="preserve"> avec les élèves et à participer à leurs jeux. </w:t>
      </w:r>
    </w:p>
    <w:sectPr w:rsidR="00755E4A" w:rsidRPr="008B777D" w:rsidSect="00844F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E7"/>
    <w:rsid w:val="00104FD4"/>
    <w:rsid w:val="00512D68"/>
    <w:rsid w:val="005B2AA1"/>
    <w:rsid w:val="00722FE7"/>
    <w:rsid w:val="00755E4A"/>
    <w:rsid w:val="00844F5A"/>
    <w:rsid w:val="008B777D"/>
    <w:rsid w:val="00904C56"/>
    <w:rsid w:val="00EF4C6A"/>
    <w:rsid w:val="00F5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EF883"/>
  <w15:chartTrackingRefBased/>
  <w15:docId w15:val="{4488BF6E-12B4-D64E-AF33-201FCCB5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D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Beaulieu</dc:creator>
  <cp:keywords/>
  <dc:description/>
  <cp:lastModifiedBy>Ariane Beaulieu</cp:lastModifiedBy>
  <cp:revision>2</cp:revision>
  <dcterms:created xsi:type="dcterms:W3CDTF">2021-10-23T18:55:00Z</dcterms:created>
  <dcterms:modified xsi:type="dcterms:W3CDTF">2021-10-25T00:32:00Z</dcterms:modified>
</cp:coreProperties>
</file>