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Lundi 2 novembre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Bonjour chers parents de première,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Dès lundi le 2 novembre, avec la collaboration de Rosalie Poirier, stagiaire en maternelle, nous commencerons notre projet qui vise à travailler les habiletés sociales. Avec l’aide du petit lutin Brin d’amour, nous montrerons à votre enfant les quatre étapes d’une bonne résolution de conflits.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Étapes de la résolution de conflits (avec signification des couleurs)</w:t>
      </w:r>
    </w:p>
    <w:p w:rsidR="00000000" w:rsidDel="00000000" w:rsidP="00000000" w:rsidRDefault="00000000" w:rsidRPr="00000000">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calmer (proposition de différents moyens) ROUGE</w:t>
      </w:r>
    </w:p>
    <w:p w:rsidR="00000000" w:rsidDel="00000000" w:rsidP="00000000" w:rsidRDefault="00000000" w:rsidRPr="00000000">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parler (exprimer les faits et ses sentiments tout en écoutant l’autre) BLEU</w:t>
      </w:r>
    </w:p>
    <w:p w:rsidR="00000000" w:rsidDel="00000000" w:rsidP="00000000" w:rsidRDefault="00000000" w:rsidRPr="00000000">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Chercher (explorer des solutions possibles) JAUNE</w:t>
      </w:r>
    </w:p>
    <w:p w:rsidR="00000000" w:rsidDel="00000000" w:rsidP="00000000" w:rsidRDefault="00000000" w:rsidRPr="00000000">
      <w:pPr>
        <w:numPr>
          <w:ilvl w:val="0"/>
          <w:numId w:val="1"/>
        </w:numPr>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Trouver (s’entendre sur une solution satisfaisante, gagnant/gagnant) VERT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Chacune des étapes sera introduite par la lecture d’une lettre du petit lutin Brin d’amour, suivie d’une activité en lien avec l’étape en cours. Ce projet aura une durée approximative de 5 semaines.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h.gjdgxs" w:id="0"/>
      <w:bookmarkEnd w:id="0"/>
      <w:r w:rsidDel="00000000" w:rsidR="00000000" w:rsidRPr="00000000">
        <w:rPr>
          <w:rFonts w:ascii="Arial" w:cs="Arial" w:eastAsia="Arial" w:hAnsi="Arial"/>
          <w:sz w:val="24"/>
          <w:szCs w:val="24"/>
          <w:rtl w:val="0"/>
        </w:rPr>
        <w:t xml:space="preserve">Au fil du projet, votre enfant aura à construire la roue de la résolution de conflit à l’aquarelle. Cette roue illustrant les quatre étapes d’une bonne résolution de conflit deviendra un outil efficace pour vous à la maison et aidera votre enfant à bien les intégrer, si vous désirez l’utiliser.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N’hésitez pas à communiquer avec moi pour toute autre information.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Au plaisir,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Madame Michaud </w:t>
      </w:r>
    </w:p>
    <w:sectPr>
      <w:pgSz w:h="15840" w:w="12240"/>
      <w:pgMar w:bottom="1077" w:top="1077"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