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A0" w:rsidRDefault="00E547A0" w:rsidP="00E547A0">
      <w:pPr>
        <w:jc w:val="center"/>
      </w:pPr>
      <w:r>
        <w:rPr>
          <w:noProof/>
          <w:lang w:eastAsia="fr-CA"/>
        </w:rPr>
        <w:drawing>
          <wp:inline distT="0" distB="0" distL="0" distR="0" wp14:anchorId="53915EEA" wp14:editId="0AF311D3">
            <wp:extent cx="6153150" cy="3524250"/>
            <wp:effectExtent l="0" t="0" r="19050"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05FF0" w:rsidRDefault="00705FF0"/>
    <w:p w:rsidR="00E547A0" w:rsidRDefault="00E547A0" w:rsidP="00E547A0">
      <w:pPr>
        <w:jc w:val="both"/>
      </w:pPr>
      <w:r>
        <w:t>Règlements du concours d’immobilité :</w:t>
      </w:r>
    </w:p>
    <w:p w:rsidR="00E547A0" w:rsidRDefault="00E547A0" w:rsidP="00E547A0">
      <w:pPr>
        <w:pStyle w:val="Paragraphedeliste"/>
        <w:numPr>
          <w:ilvl w:val="0"/>
          <w:numId w:val="1"/>
        </w:numPr>
        <w:jc w:val="both"/>
      </w:pPr>
      <w:r>
        <w:t>Ne pas bouger</w:t>
      </w:r>
    </w:p>
    <w:p w:rsidR="00E547A0" w:rsidRDefault="00E547A0" w:rsidP="00E547A0">
      <w:pPr>
        <w:pStyle w:val="Paragraphedeliste"/>
        <w:numPr>
          <w:ilvl w:val="0"/>
          <w:numId w:val="1"/>
        </w:numPr>
        <w:jc w:val="both"/>
      </w:pPr>
      <w:r>
        <w:t>Tu peux respirer</w:t>
      </w:r>
    </w:p>
    <w:p w:rsidR="00E547A0" w:rsidRDefault="00E547A0" w:rsidP="00E547A0">
      <w:pPr>
        <w:pStyle w:val="Paragraphedeliste"/>
        <w:numPr>
          <w:ilvl w:val="0"/>
          <w:numId w:val="1"/>
        </w:numPr>
        <w:jc w:val="both"/>
      </w:pPr>
      <w:r>
        <w:t>Tu peux cligner des paupières</w:t>
      </w:r>
    </w:p>
    <w:p w:rsidR="00E547A0" w:rsidRDefault="00E547A0" w:rsidP="00E547A0">
      <w:pPr>
        <w:pStyle w:val="Paragraphedeliste"/>
        <w:numPr>
          <w:ilvl w:val="0"/>
          <w:numId w:val="1"/>
        </w:numPr>
        <w:jc w:val="both"/>
      </w:pPr>
      <w:r>
        <w:t>Tu ne peux pas bouger les yeux</w:t>
      </w:r>
    </w:p>
    <w:p w:rsidR="00E547A0" w:rsidRDefault="00E547A0" w:rsidP="00E547A0">
      <w:pPr>
        <w:pStyle w:val="Paragraphedeliste"/>
        <w:numPr>
          <w:ilvl w:val="0"/>
          <w:numId w:val="1"/>
        </w:numPr>
        <w:jc w:val="both"/>
      </w:pPr>
      <w:r>
        <w:t>Tu ne peux pas rire</w:t>
      </w:r>
    </w:p>
    <w:p w:rsidR="00E547A0" w:rsidRDefault="00E547A0" w:rsidP="00E547A0">
      <w:pPr>
        <w:jc w:val="both"/>
      </w:pPr>
      <w:r>
        <w:t>21 septembre : la première fois que nous avons fait le concours d’immobilité, notre but était seulement de ne pas bouger pendant 30 secondes (2 reprises pour réussir).</w:t>
      </w:r>
    </w:p>
    <w:p w:rsidR="00E547A0" w:rsidRDefault="00E547A0" w:rsidP="00E547A0">
      <w:pPr>
        <w:jc w:val="both"/>
      </w:pPr>
      <w:r>
        <w:t xml:space="preserve">Les premières fois que nous avons fait le concours, je demandais aux élèves de partager à la classe leurs stratégies pour réussir le défi (parfois avant, parfois après). De plus, je leur demandais ce qu’ils trouvaient le plus difficile dans le défi. Une fois que le concours était bien connu des élèves, parfois je posais la question, parfois je rappelais les stratégies déjà partagées et d’autres fois je leur demandais seulement de réfléchir dans leur tête aux différentes stratégies partagées depuis le début de l’année. </w:t>
      </w:r>
    </w:p>
    <w:p w:rsidR="00E547A0" w:rsidRDefault="00E547A0" w:rsidP="00E547A0">
      <w:pPr>
        <w:jc w:val="both"/>
      </w:pPr>
    </w:p>
    <w:p w:rsidR="00E547A0" w:rsidRDefault="00E547A0" w:rsidP="00E547A0">
      <w:pPr>
        <w:jc w:val="both"/>
      </w:pPr>
      <w:r>
        <w:t>26 octobre : Les élèves ont demandé pour faire le concours debout. Ils ont vite compris qu’il était plus difficile de ne pas bouger lorsque nous étions debout.</w:t>
      </w:r>
    </w:p>
    <w:p w:rsidR="00E547A0" w:rsidRDefault="0088674E" w:rsidP="00E547A0">
      <w:pPr>
        <w:jc w:val="both"/>
      </w:pPr>
      <w:r>
        <w:lastRenderedPageBreak/>
        <w:t>25 novembre, 30 novembre, 1</w:t>
      </w:r>
      <w:r w:rsidRPr="0088674E">
        <w:rPr>
          <w:vertAlign w:val="superscript"/>
        </w:rPr>
        <w:t>er</w:t>
      </w:r>
      <w:r>
        <w:t xml:space="preserve"> décembre : J’essaie de déconcentrer les élèves dans leur défi. </w:t>
      </w:r>
    </w:p>
    <w:p w:rsidR="0088674E" w:rsidRDefault="0088674E" w:rsidP="00E547A0">
      <w:pPr>
        <w:jc w:val="both"/>
      </w:pPr>
      <w:r>
        <w:t xml:space="preserve">3 décembre : je donne de l’information aux élèves pendant le concours au sujet du déroulement du dîner. </w:t>
      </w:r>
    </w:p>
    <w:p w:rsidR="0088674E" w:rsidRDefault="0088674E" w:rsidP="00E547A0">
      <w:pPr>
        <w:jc w:val="both"/>
      </w:pPr>
      <w:r>
        <w:t xml:space="preserve">En général, même s’ils ont eu une très grosse période avant de relever le défi, ils réussissent très bien. Pour certains élèves, le concours semble leur faire du bien, ils sont plus calmes après. </w:t>
      </w:r>
      <w:bookmarkStart w:id="0" w:name="_GoBack"/>
      <w:bookmarkEnd w:id="0"/>
    </w:p>
    <w:p w:rsidR="00E547A0" w:rsidRDefault="00E547A0" w:rsidP="00E547A0">
      <w:pPr>
        <w:jc w:val="both"/>
      </w:pPr>
    </w:p>
    <w:sectPr w:rsidR="00E547A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5D53"/>
    <w:multiLevelType w:val="hybridMultilevel"/>
    <w:tmpl w:val="230E1394"/>
    <w:lvl w:ilvl="0" w:tplc="BD4A76EE">
      <w:start w:val="2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A0"/>
    <w:rsid w:val="00705FF0"/>
    <w:rsid w:val="0088674E"/>
    <w:rsid w:val="00BE1F5C"/>
    <w:rsid w:val="00E547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47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7A0"/>
    <w:rPr>
      <w:rFonts w:ascii="Tahoma" w:hAnsi="Tahoma" w:cs="Tahoma"/>
      <w:sz w:val="16"/>
      <w:szCs w:val="16"/>
    </w:rPr>
  </w:style>
  <w:style w:type="paragraph" w:styleId="Paragraphedeliste">
    <w:name w:val="List Paragraph"/>
    <w:basedOn w:val="Normal"/>
    <w:uiPriority w:val="34"/>
    <w:qFormat/>
    <w:rsid w:val="00E547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47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7A0"/>
    <w:rPr>
      <w:rFonts w:ascii="Tahoma" w:hAnsi="Tahoma" w:cs="Tahoma"/>
      <w:sz w:val="16"/>
      <w:szCs w:val="16"/>
    </w:rPr>
  </w:style>
  <w:style w:type="paragraph" w:styleId="Paragraphedeliste">
    <w:name w:val="List Paragraph"/>
    <w:basedOn w:val="Normal"/>
    <w:uiPriority w:val="34"/>
    <w:qFormat/>
    <w:rsid w:val="00E54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Concours d'immobilité</a:t>
            </a:r>
          </a:p>
        </c:rich>
      </c:tx>
      <c:overlay val="0"/>
    </c:title>
    <c:autoTitleDeleted val="0"/>
    <c:plotArea>
      <c:layout/>
      <c:lineChart>
        <c:grouping val="standard"/>
        <c:varyColors val="0"/>
        <c:ser>
          <c:idx val="0"/>
          <c:order val="0"/>
          <c:tx>
            <c:strRef>
              <c:f>Feuil1!$B$1</c:f>
              <c:strCache>
                <c:ptCount val="1"/>
                <c:pt idx="0">
                  <c:v>Série 1</c:v>
                </c:pt>
              </c:strCache>
            </c:strRef>
          </c:tx>
          <c:marker>
            <c:symbol val="none"/>
          </c:marker>
          <c:cat>
            <c:strRef>
              <c:f>Feuil1!$A$2:$A$16</c:f>
              <c:strCache>
                <c:ptCount val="15"/>
                <c:pt idx="0">
                  <c:v>23 sept.</c:v>
                </c:pt>
                <c:pt idx="1">
                  <c:v>24 sept.</c:v>
                </c:pt>
                <c:pt idx="2">
                  <c:v>26 oct.</c:v>
                </c:pt>
                <c:pt idx="3">
                  <c:v>19 nov.</c:v>
                </c:pt>
                <c:pt idx="4">
                  <c:v>23 nov.</c:v>
                </c:pt>
                <c:pt idx="5">
                  <c:v>24 nov.</c:v>
                </c:pt>
                <c:pt idx="6">
                  <c:v>25 nov.</c:v>
                </c:pt>
                <c:pt idx="7">
                  <c:v>26 nov.</c:v>
                </c:pt>
                <c:pt idx="8">
                  <c:v>27 nov.</c:v>
                </c:pt>
                <c:pt idx="9">
                  <c:v>30 nov.</c:v>
                </c:pt>
                <c:pt idx="10">
                  <c:v>1er dec.</c:v>
                </c:pt>
                <c:pt idx="11">
                  <c:v>2 déc.</c:v>
                </c:pt>
                <c:pt idx="12">
                  <c:v>3 déc.</c:v>
                </c:pt>
                <c:pt idx="13">
                  <c:v>7 déc.</c:v>
                </c:pt>
                <c:pt idx="14">
                  <c:v>8déc.</c:v>
                </c:pt>
              </c:strCache>
            </c:strRef>
          </c:cat>
          <c:val>
            <c:numRef>
              <c:f>Feuil1!$B$2:$B$16</c:f>
              <c:numCache>
                <c:formatCode>General</c:formatCode>
                <c:ptCount val="15"/>
                <c:pt idx="0">
                  <c:v>42</c:v>
                </c:pt>
                <c:pt idx="1">
                  <c:v>37</c:v>
                </c:pt>
                <c:pt idx="2">
                  <c:v>35</c:v>
                </c:pt>
                <c:pt idx="3">
                  <c:v>59</c:v>
                </c:pt>
                <c:pt idx="4">
                  <c:v>67</c:v>
                </c:pt>
                <c:pt idx="5">
                  <c:v>62</c:v>
                </c:pt>
                <c:pt idx="6">
                  <c:v>99</c:v>
                </c:pt>
                <c:pt idx="7">
                  <c:v>36</c:v>
                </c:pt>
                <c:pt idx="8">
                  <c:v>39</c:v>
                </c:pt>
                <c:pt idx="9">
                  <c:v>105</c:v>
                </c:pt>
                <c:pt idx="10">
                  <c:v>169</c:v>
                </c:pt>
                <c:pt idx="11">
                  <c:v>39</c:v>
                </c:pt>
                <c:pt idx="12">
                  <c:v>99</c:v>
                </c:pt>
                <c:pt idx="13">
                  <c:v>87</c:v>
                </c:pt>
                <c:pt idx="14">
                  <c:v>94</c:v>
                </c:pt>
              </c:numCache>
            </c:numRef>
          </c:val>
          <c:smooth val="0"/>
        </c:ser>
        <c:dLbls>
          <c:dLblPos val="t"/>
          <c:showLegendKey val="0"/>
          <c:showVal val="1"/>
          <c:showCatName val="0"/>
          <c:showSerName val="0"/>
          <c:showPercent val="0"/>
          <c:showBubbleSize val="0"/>
        </c:dLbls>
        <c:hiLowLines/>
        <c:marker val="1"/>
        <c:smooth val="0"/>
        <c:axId val="77892992"/>
        <c:axId val="136018944"/>
      </c:lineChart>
      <c:catAx>
        <c:axId val="77892992"/>
        <c:scaling>
          <c:orientation val="minMax"/>
        </c:scaling>
        <c:delete val="0"/>
        <c:axPos val="b"/>
        <c:title>
          <c:tx>
            <c:rich>
              <a:bodyPr/>
              <a:lstStyle/>
              <a:p>
                <a:pPr>
                  <a:defRPr/>
                </a:pPr>
                <a:r>
                  <a:rPr lang="fr-CA"/>
                  <a:t>Dates</a:t>
                </a:r>
              </a:p>
            </c:rich>
          </c:tx>
          <c:overlay val="0"/>
        </c:title>
        <c:majorTickMark val="none"/>
        <c:minorTickMark val="none"/>
        <c:tickLblPos val="nextTo"/>
        <c:crossAx val="136018944"/>
        <c:crosses val="autoZero"/>
        <c:auto val="1"/>
        <c:lblAlgn val="ctr"/>
        <c:lblOffset val="100"/>
        <c:noMultiLvlLbl val="0"/>
      </c:catAx>
      <c:valAx>
        <c:axId val="136018944"/>
        <c:scaling>
          <c:orientation val="minMax"/>
        </c:scaling>
        <c:delete val="0"/>
        <c:axPos val="l"/>
        <c:majorGridlines/>
        <c:title>
          <c:tx>
            <c:rich>
              <a:bodyPr/>
              <a:lstStyle/>
              <a:p>
                <a:pPr>
                  <a:defRPr/>
                </a:pPr>
                <a:r>
                  <a:rPr lang="fr-CA"/>
                  <a:t>Nombre de secondes</a:t>
                </a:r>
              </a:p>
            </c:rich>
          </c:tx>
          <c:overlay val="0"/>
        </c:title>
        <c:numFmt formatCode="General" sourceLinked="1"/>
        <c:majorTickMark val="out"/>
        <c:minorTickMark val="none"/>
        <c:tickLblPos val="nextTo"/>
        <c:crossAx val="778929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216</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cp:revision>
  <dcterms:created xsi:type="dcterms:W3CDTF">2016-01-31T20:59:00Z</dcterms:created>
  <dcterms:modified xsi:type="dcterms:W3CDTF">2016-01-31T21:27:00Z</dcterms:modified>
</cp:coreProperties>
</file>