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206"/>
        <w:tblW w:w="9079" w:type="dxa"/>
        <w:tblLayout w:type="fixed"/>
        <w:tblLook w:val="04A0" w:firstRow="1" w:lastRow="0" w:firstColumn="1" w:lastColumn="0" w:noHBand="0" w:noVBand="1"/>
      </w:tblPr>
      <w:tblGrid>
        <w:gridCol w:w="1589"/>
        <w:gridCol w:w="30"/>
        <w:gridCol w:w="3576"/>
        <w:gridCol w:w="3884"/>
      </w:tblGrid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28"/>
              </w:rPr>
            </w:pPr>
            <w:bookmarkStart w:id="0" w:name="_GoBack"/>
            <w:bookmarkEnd w:id="0"/>
          </w:p>
        </w:tc>
        <w:tc>
          <w:tcPr>
            <w:tcW w:w="3606" w:type="dxa"/>
            <w:gridSpan w:val="2"/>
          </w:tcPr>
          <w:p w:rsidR="00165A18" w:rsidRPr="006F461A" w:rsidRDefault="00165A18" w:rsidP="006F461A">
            <w:pPr>
              <w:jc w:val="center"/>
              <w:rPr>
                <w:rFonts w:ascii="Bradley Hand ITC" w:hAnsi="Bradley Hand ITC" w:cs="Agent Orange"/>
                <w:b/>
                <w:sz w:val="32"/>
              </w:rPr>
            </w:pPr>
            <w:r w:rsidRPr="006F461A">
              <w:rPr>
                <w:rFonts w:ascii="Bradley Hand ITC" w:hAnsi="Bradley Hand ITC" w:cs="Agent Orange"/>
                <w:b/>
                <w:sz w:val="32"/>
              </w:rPr>
              <w:t>Première partie</w:t>
            </w:r>
          </w:p>
        </w:tc>
        <w:tc>
          <w:tcPr>
            <w:tcW w:w="3884" w:type="dxa"/>
          </w:tcPr>
          <w:p w:rsidR="00165A18" w:rsidRPr="006F461A" w:rsidRDefault="00165A18" w:rsidP="006F461A">
            <w:pPr>
              <w:jc w:val="center"/>
              <w:rPr>
                <w:rFonts w:ascii="Bradley Hand ITC" w:hAnsi="Bradley Hand ITC" w:cs="Agent Orange"/>
                <w:b/>
                <w:sz w:val="32"/>
              </w:rPr>
            </w:pPr>
            <w:r w:rsidRPr="006F461A">
              <w:rPr>
                <w:rFonts w:ascii="Bradley Hand ITC" w:hAnsi="Bradley Hand ITC" w:cs="Agent Orange"/>
                <w:b/>
                <w:sz w:val="32"/>
              </w:rPr>
              <w:t>Deuxième partie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6F461A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  <w:tc>
          <w:tcPr>
            <w:tcW w:w="3884" w:type="dxa"/>
          </w:tcPr>
          <w:p w:rsidR="00165A18" w:rsidRPr="006F461A" w:rsidRDefault="00B97E67" w:rsidP="00B97E67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Interpersonnel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2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 xml:space="preserve">Interpersonnel 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</w:tr>
      <w:tr w:rsidR="00165A18" w:rsidRPr="004A1CF3" w:rsidTr="00165A18">
        <w:trPr>
          <w:trHeight w:val="45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3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 xml:space="preserve">Visuel-spatial 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4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5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6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</w:tr>
      <w:tr w:rsidR="00165A18" w:rsidRPr="004A1CF3" w:rsidTr="00165A18">
        <w:trPr>
          <w:trHeight w:val="45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7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 xml:space="preserve">Interpersonnel 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8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9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Linguistique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10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</w:tr>
      <w:tr w:rsidR="00165A18" w:rsidRPr="004A1CF3" w:rsidTr="00165A18">
        <w:trPr>
          <w:trHeight w:val="45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11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12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13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</w:tr>
      <w:tr w:rsidR="00165A18" w:rsidRPr="004A1CF3" w:rsidTr="00165A18">
        <w:trPr>
          <w:trHeight w:val="45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14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proofErr w:type="spellStart"/>
            <w:r w:rsidRPr="006F461A">
              <w:rPr>
                <w:rFonts w:ascii="Bradley Hand ITC" w:hAnsi="Bradley Hand ITC" w:cs="Agent Orange"/>
                <w:sz w:val="32"/>
              </w:rPr>
              <w:t>Intrapersonnel</w:t>
            </w:r>
            <w:proofErr w:type="spellEnd"/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Linguistique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15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Linguistique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16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Logico-mathématique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Linguistique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17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Interpersonnel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</w:tr>
      <w:tr w:rsidR="00165A18" w:rsidRPr="004A1CF3" w:rsidTr="00165A18">
        <w:trPr>
          <w:trHeight w:val="45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18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proofErr w:type="spellStart"/>
            <w:r w:rsidRPr="006F461A">
              <w:rPr>
                <w:rFonts w:ascii="Bradley Hand ITC" w:hAnsi="Bradley Hand ITC" w:cs="Agent Orange"/>
                <w:sz w:val="32"/>
              </w:rPr>
              <w:t>Intrapersonnel</w:t>
            </w:r>
            <w:proofErr w:type="spellEnd"/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19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Linguistique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Interpersonnel</w:t>
            </w:r>
          </w:p>
        </w:tc>
      </w:tr>
      <w:tr w:rsidR="00165A18" w:rsidRPr="004A1CF3" w:rsidTr="00165A18">
        <w:trPr>
          <w:trHeight w:val="43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>Élève 20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proofErr w:type="spellStart"/>
            <w:r w:rsidRPr="006F461A">
              <w:rPr>
                <w:rFonts w:ascii="Bradley Hand ITC" w:hAnsi="Bradley Hand ITC" w:cs="Agent Orange"/>
                <w:sz w:val="32"/>
              </w:rPr>
              <w:t>Intrapersonnel</w:t>
            </w:r>
            <w:proofErr w:type="spellEnd"/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kinesthésique</w:t>
            </w:r>
          </w:p>
        </w:tc>
      </w:tr>
      <w:tr w:rsidR="00165A18" w:rsidRPr="004A1CF3" w:rsidTr="00165A18">
        <w:trPr>
          <w:trHeight w:val="452"/>
        </w:trPr>
        <w:tc>
          <w:tcPr>
            <w:tcW w:w="1589" w:type="dxa"/>
          </w:tcPr>
          <w:p w:rsidR="00165A18" w:rsidRPr="006F461A" w:rsidRDefault="006F461A" w:rsidP="00165A18">
            <w:pPr>
              <w:jc w:val="center"/>
              <w:rPr>
                <w:rFonts w:ascii="Bradley Hand ITC" w:hAnsi="Bradley Hand ITC" w:cs="Agent Orange"/>
                <w:b/>
                <w:sz w:val="28"/>
              </w:rPr>
            </w:pPr>
            <w:r w:rsidRPr="006F461A">
              <w:rPr>
                <w:rFonts w:ascii="Bradley Hand ITC" w:hAnsi="Bradley Hand ITC" w:cs="Agent Orange"/>
                <w:b/>
                <w:sz w:val="28"/>
              </w:rPr>
              <w:t xml:space="preserve">Élève 21 </w:t>
            </w:r>
          </w:p>
        </w:tc>
        <w:tc>
          <w:tcPr>
            <w:tcW w:w="3606" w:type="dxa"/>
            <w:gridSpan w:val="2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 xml:space="preserve">Linguistique 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  <w:r w:rsidRPr="006F461A">
              <w:rPr>
                <w:rFonts w:ascii="Bradley Hand ITC" w:hAnsi="Bradley Hand ITC" w:cs="Agent Orange"/>
                <w:sz w:val="32"/>
              </w:rPr>
              <w:t>Visuel-spatial</w:t>
            </w:r>
          </w:p>
        </w:tc>
      </w:tr>
      <w:tr w:rsidR="006F461A" w:rsidRPr="004A1CF3" w:rsidTr="008450C5">
        <w:trPr>
          <w:trHeight w:val="452"/>
        </w:trPr>
        <w:tc>
          <w:tcPr>
            <w:tcW w:w="9079" w:type="dxa"/>
            <w:gridSpan w:val="4"/>
          </w:tcPr>
          <w:p w:rsidR="006F461A" w:rsidRPr="006F461A" w:rsidRDefault="006F461A" w:rsidP="00165A18">
            <w:pPr>
              <w:jc w:val="center"/>
              <w:rPr>
                <w:rFonts w:ascii="Bradley Hand ITC" w:hAnsi="Bradley Hand ITC" w:cs="Agent Orange"/>
                <w:sz w:val="32"/>
              </w:rPr>
            </w:pPr>
          </w:p>
        </w:tc>
      </w:tr>
      <w:tr w:rsidR="00165A18" w:rsidRPr="004A1CF3" w:rsidTr="00165A18">
        <w:trPr>
          <w:trHeight w:val="452"/>
        </w:trPr>
        <w:tc>
          <w:tcPr>
            <w:tcW w:w="1619" w:type="dxa"/>
            <w:gridSpan w:val="2"/>
          </w:tcPr>
          <w:p w:rsidR="00165A18" w:rsidRPr="006F461A" w:rsidRDefault="006F461A" w:rsidP="00165A18">
            <w:pPr>
              <w:ind w:right="-71"/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 xml:space="preserve">Poste A </w:t>
            </w:r>
          </w:p>
          <w:p w:rsidR="006F461A" w:rsidRPr="006F461A" w:rsidRDefault="006F461A" w:rsidP="00165A18">
            <w:pPr>
              <w:ind w:right="-71"/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Poste B</w:t>
            </w:r>
          </w:p>
          <w:p w:rsidR="006F461A" w:rsidRPr="006F461A" w:rsidRDefault="006F461A" w:rsidP="00165A18">
            <w:pPr>
              <w:ind w:right="-71"/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Poste C</w:t>
            </w:r>
          </w:p>
          <w:p w:rsidR="006F461A" w:rsidRPr="006F461A" w:rsidRDefault="006F461A" w:rsidP="00165A18">
            <w:pPr>
              <w:ind w:right="-71"/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Poste D</w:t>
            </w:r>
          </w:p>
          <w:p w:rsidR="006F461A" w:rsidRPr="006F461A" w:rsidRDefault="006F461A" w:rsidP="00165A18">
            <w:pPr>
              <w:ind w:right="-71"/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Poste E</w:t>
            </w:r>
          </w:p>
          <w:p w:rsidR="006F461A" w:rsidRPr="006F461A" w:rsidRDefault="006F461A" w:rsidP="00165A18">
            <w:pPr>
              <w:ind w:right="-71"/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Poste F</w:t>
            </w:r>
          </w:p>
        </w:tc>
        <w:tc>
          <w:tcPr>
            <w:tcW w:w="3576" w:type="dxa"/>
          </w:tcPr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4 Kinesthésique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6 Visuel-spatial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4 Logico-mathématique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3 Linguistique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 xml:space="preserve">2 </w:t>
            </w:r>
            <w:proofErr w:type="spellStart"/>
            <w:r w:rsidRPr="006F461A">
              <w:rPr>
                <w:rFonts w:ascii="Gill Sans MT" w:hAnsi="Gill Sans MT" w:cs="Agent Orange"/>
                <w:sz w:val="24"/>
              </w:rPr>
              <w:t>Intrapersonnel</w:t>
            </w:r>
            <w:proofErr w:type="spellEnd"/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2 Interpersonnel</w:t>
            </w:r>
          </w:p>
        </w:tc>
        <w:tc>
          <w:tcPr>
            <w:tcW w:w="3884" w:type="dxa"/>
          </w:tcPr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5 kinesthésique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6 Visuel-spatial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3 Logico-mathématique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3 Linguistique</w:t>
            </w:r>
          </w:p>
          <w:p w:rsidR="00165A18" w:rsidRPr="006F461A" w:rsidRDefault="00165A18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 xml:space="preserve">1 </w:t>
            </w:r>
            <w:proofErr w:type="spellStart"/>
            <w:r w:rsidRPr="006F461A">
              <w:rPr>
                <w:rFonts w:ascii="Gill Sans MT" w:hAnsi="Gill Sans MT" w:cs="Agent Orange"/>
                <w:sz w:val="24"/>
              </w:rPr>
              <w:t>Intrapersonnel</w:t>
            </w:r>
            <w:proofErr w:type="spellEnd"/>
          </w:p>
          <w:p w:rsidR="00165A18" w:rsidRPr="006F461A" w:rsidRDefault="00B97E67" w:rsidP="00165A18">
            <w:pPr>
              <w:jc w:val="center"/>
              <w:rPr>
                <w:rFonts w:ascii="Gill Sans MT" w:hAnsi="Gill Sans MT" w:cs="Agent Orange"/>
                <w:sz w:val="24"/>
              </w:rPr>
            </w:pPr>
            <w:r w:rsidRPr="006F461A">
              <w:rPr>
                <w:rFonts w:ascii="Gill Sans MT" w:hAnsi="Gill Sans MT" w:cs="Agent Orange"/>
                <w:sz w:val="24"/>
              </w:rPr>
              <w:t>3</w:t>
            </w:r>
            <w:r w:rsidR="00165A18" w:rsidRPr="006F461A">
              <w:rPr>
                <w:rFonts w:ascii="Gill Sans MT" w:hAnsi="Gill Sans MT" w:cs="Agent Orange"/>
                <w:sz w:val="24"/>
              </w:rPr>
              <w:t xml:space="preserve"> Interpersonnel</w:t>
            </w:r>
          </w:p>
        </w:tc>
      </w:tr>
    </w:tbl>
    <w:p w:rsidR="006620FC" w:rsidRPr="006F461A" w:rsidRDefault="00165A18" w:rsidP="008577F6">
      <w:pPr>
        <w:jc w:val="center"/>
        <w:rPr>
          <w:rFonts w:ascii="Gill Sans MT" w:hAnsi="Gill Sans MT"/>
          <w:b/>
          <w:sz w:val="40"/>
        </w:rPr>
      </w:pPr>
      <w:r w:rsidRPr="006F461A">
        <w:rPr>
          <w:rFonts w:ascii="Gill Sans MT" w:hAnsi="Gill Sans MT"/>
          <w:b/>
          <w:sz w:val="40"/>
        </w:rPr>
        <w:t xml:space="preserve">ATELIERS </w:t>
      </w:r>
      <w:r w:rsidR="006F461A" w:rsidRPr="006F461A">
        <w:rPr>
          <w:rFonts w:ascii="Gill Sans MT" w:hAnsi="Gill Sans MT"/>
          <w:b/>
          <w:sz w:val="40"/>
        </w:rPr>
        <w:t xml:space="preserve">– FIGURES PLANES </w:t>
      </w:r>
    </w:p>
    <w:sectPr w:rsidR="006620FC" w:rsidRPr="006F461A" w:rsidSect="006F461A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F6"/>
    <w:rsid w:val="00165A18"/>
    <w:rsid w:val="00183191"/>
    <w:rsid w:val="0039062C"/>
    <w:rsid w:val="00426A5A"/>
    <w:rsid w:val="0047401F"/>
    <w:rsid w:val="006620FC"/>
    <w:rsid w:val="00676BD8"/>
    <w:rsid w:val="006F461A"/>
    <w:rsid w:val="008577F6"/>
    <w:rsid w:val="00957FC3"/>
    <w:rsid w:val="00A732F7"/>
    <w:rsid w:val="00B97E67"/>
    <w:rsid w:val="00C83288"/>
    <w:rsid w:val="00D42B9F"/>
    <w:rsid w:val="00D849CE"/>
    <w:rsid w:val="00DB67A8"/>
    <w:rsid w:val="00E6444E"/>
    <w:rsid w:val="00FA13A5"/>
    <w:rsid w:val="00FB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52EDF-208C-4A4D-8B47-36F44C4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0AA2D6-67EF-47F2-9C7D-F20F0628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Découvreurs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nicole.mainguy</dc:creator>
  <cp:lastModifiedBy>Frédérique Vachon</cp:lastModifiedBy>
  <cp:revision>2</cp:revision>
  <dcterms:created xsi:type="dcterms:W3CDTF">2016-01-21T18:24:00Z</dcterms:created>
  <dcterms:modified xsi:type="dcterms:W3CDTF">2016-01-21T18:24:00Z</dcterms:modified>
</cp:coreProperties>
</file>